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C4" w:rsidRDefault="005C2E89" w:rsidP="005B46C4">
      <w:r>
        <w:rPr>
          <w:noProof/>
          <w:lang w:eastAsia="de-AT"/>
        </w:rPr>
        <mc:AlternateContent>
          <mc:Choice Requires="wps">
            <w:drawing>
              <wp:anchor distT="0" distB="0" distL="114300" distR="114300" simplePos="0" relativeHeight="251659264" behindDoc="0" locked="0" layoutInCell="1" allowOverlap="1" wp14:anchorId="27FAB124" wp14:editId="576A7463">
                <wp:simplePos x="0" y="0"/>
                <wp:positionH relativeFrom="column">
                  <wp:posOffset>2123440</wp:posOffset>
                </wp:positionH>
                <wp:positionV relativeFrom="paragraph">
                  <wp:posOffset>66040</wp:posOffset>
                </wp:positionV>
                <wp:extent cx="4219575" cy="1403985"/>
                <wp:effectExtent l="0" t="0" r="2857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3985"/>
                        </a:xfrm>
                        <a:prstGeom prst="rect">
                          <a:avLst/>
                        </a:prstGeom>
                        <a:solidFill>
                          <a:srgbClr val="FFFFFF"/>
                        </a:solidFill>
                        <a:ln w="9525">
                          <a:solidFill>
                            <a:srgbClr val="000000"/>
                          </a:solidFill>
                          <a:miter lim="800000"/>
                          <a:headEnd/>
                          <a:tailEnd/>
                        </a:ln>
                      </wps:spPr>
                      <wps:txbx>
                        <w:txbxContent>
                          <w:p w:rsidR="00C33FE2" w:rsidRPr="00640993" w:rsidRDefault="00C33FE2" w:rsidP="00640993">
                            <w:pPr>
                              <w:ind w:firstLine="708"/>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0993">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ERNÄHRUNGSRATGEBER</w:t>
                            </w:r>
                          </w:p>
                          <w:p w:rsidR="00C33FE2" w:rsidRPr="00640993" w:rsidRDefault="00C33FE2" w:rsidP="00640993">
                            <w:pPr>
                              <w:ind w:firstLine="708"/>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0993">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HARNSÄURE und GICHT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7.2pt;margin-top:5.2pt;width:3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">
                <v:textbox style="mso-fit-shape-to-text:t">
                  <w:txbxContent>
                    <w:p w:rsidR="00C33FE2" w:rsidRPr="00640993" w:rsidRDefault="00C33FE2" w:rsidP="00640993">
                      <w:pPr>
                        <w:ind w:firstLine="708"/>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0993">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ERNÄHRUNGSRATGEBER</w:t>
                      </w:r>
                    </w:p>
                    <w:p w:rsidR="00C33FE2" w:rsidRPr="00640993" w:rsidRDefault="00C33FE2" w:rsidP="00640993">
                      <w:pPr>
                        <w:ind w:firstLine="708"/>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0993">
                        <w:rPr>
                          <w:b/>
                          <w:outline/>
                          <w:color w:val="7D7D7D"/>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HARNSÄURE und GICHT</w:t>
                      </w:r>
                    </w:p>
                  </w:txbxContent>
                </v:textbox>
              </v:shape>
            </w:pict>
          </mc:Fallback>
        </mc:AlternateContent>
      </w:r>
      <w:r>
        <w:rPr>
          <w:noProof/>
          <w:lang w:eastAsia="de-AT"/>
        </w:rPr>
        <w:drawing>
          <wp:inline distT="0" distB="0" distL="0" distR="0" wp14:anchorId="6288F7B4" wp14:editId="3B939653">
            <wp:extent cx="2047875" cy="1274836"/>
            <wp:effectExtent l="0" t="0" r="0" b="1905"/>
            <wp:docPr id="2" name="Grafik 2" descr="F:\Dr.Rausch Ordner Infos\logo\Raus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Rausch Ordner Infos\logo\Rausch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274836"/>
                    </a:xfrm>
                    <a:prstGeom prst="rect">
                      <a:avLst/>
                    </a:prstGeom>
                    <a:noFill/>
                    <a:ln>
                      <a:noFill/>
                    </a:ln>
                  </pic:spPr>
                </pic:pic>
              </a:graphicData>
            </a:graphic>
          </wp:inline>
        </w:drawing>
      </w:r>
    </w:p>
    <w:p w:rsidR="005B46C4" w:rsidRPr="005C2E89" w:rsidRDefault="005B46C4" w:rsidP="005B46C4">
      <w:pPr>
        <w:rPr>
          <w:b/>
        </w:rPr>
      </w:pPr>
      <w:r w:rsidRPr="005C2E89">
        <w:rPr>
          <w:b/>
        </w:rPr>
        <w:t>Definition</w:t>
      </w:r>
    </w:p>
    <w:p w:rsidR="000864E7" w:rsidRDefault="005B46C4" w:rsidP="005B46C4">
      <w:r>
        <w:t xml:space="preserve">Bei Gicht handelt es sich um eine </w:t>
      </w:r>
      <w:r w:rsidR="00650D83">
        <w:t>Störung des sog. Purin-Stoffwechsels.  I</w:t>
      </w:r>
      <w:r>
        <w:t>nfolge hoher Harnsäurekonzentrationen</w:t>
      </w:r>
      <w:r w:rsidR="00650D83">
        <w:t xml:space="preserve">    </w:t>
      </w:r>
      <w:r>
        <w:t xml:space="preserve"> im Blut </w:t>
      </w:r>
      <w:r w:rsidR="00650D83">
        <w:t xml:space="preserve">kommt es </w:t>
      </w:r>
      <w:r>
        <w:t xml:space="preserve">zu Ablagerungen von Harnsäurekristallen in Gelenken und Geweben. </w:t>
      </w:r>
      <w:r w:rsidR="00650D83" w:rsidRPr="00650D83">
        <w:t xml:space="preserve">Erhöhte Harnsäurewerte führen </w:t>
      </w:r>
      <w:r w:rsidR="00650D83">
        <w:t xml:space="preserve">zwar </w:t>
      </w:r>
      <w:r w:rsidR="00650D83" w:rsidRPr="00650D83">
        <w:t xml:space="preserve">nicht zwangsläufig zur Gicht, sie stellen </w:t>
      </w:r>
      <w:r w:rsidR="00650D83">
        <w:t>aber</w:t>
      </w:r>
      <w:r w:rsidR="00650D83" w:rsidRPr="00650D83">
        <w:t xml:space="preserve"> die biochemische Grundlage dar. Mit der Höhe der Harnsäurekonzentration </w:t>
      </w:r>
      <w:r w:rsidR="00650D83">
        <w:t xml:space="preserve">im Blut steigt </w:t>
      </w:r>
      <w:r w:rsidR="00650D83" w:rsidRPr="00650D83">
        <w:t>die Wahrscheinlichkeit eines Gichtanfalles.</w:t>
      </w:r>
    </w:p>
    <w:p w:rsidR="000864E7" w:rsidRDefault="000864E7" w:rsidP="005B46C4">
      <w:pPr>
        <w:rPr>
          <w:b/>
        </w:rPr>
      </w:pPr>
      <w:r w:rsidRPr="000864E7">
        <w:rPr>
          <w:b/>
        </w:rPr>
        <w:t>Ursachen</w:t>
      </w:r>
    </w:p>
    <w:p w:rsidR="000864E7" w:rsidRPr="000864E7" w:rsidRDefault="000864E7" w:rsidP="005B46C4">
      <w:r w:rsidRPr="000864E7">
        <w:t>Die weitaus häufigste Ursache erhöhter Harnsäurewerte im Blut ist unser `Lebensstil`.  Falsche Ernährung, insbesondere purinreiche Ernährung, reichlich Alkoholkonsum und Bewegungsmangel führen zur Gicht. Die Gicht zählt zu den typischen Wohlstandserkrankungen. In Zeiten des Notstandes war die Gicht kaum anzutreffen, während die Anzahl der Erkrankungen seit dem 2. Weltkrieg stetig zunimmt. Heute weisen 10% aller Männer erhöhte Harnsäurewerte auf. Frauen</w:t>
      </w:r>
      <w:r>
        <w:t xml:space="preserve"> sind zwar  weniger betroffen</w:t>
      </w:r>
      <w:r w:rsidR="00E12C2E">
        <w:t xml:space="preserve"> (5%)</w:t>
      </w:r>
      <w:r>
        <w:t>, i</w:t>
      </w:r>
      <w:r w:rsidRPr="000864E7">
        <w:t>hr Anteil steigt jedoch nach den Wechseljahren, was auf die hormonelle Umstellung aber auch auf Übergewicht und Fehlernährung sowie Bewegungsmangel zurückzuführen ist.</w:t>
      </w:r>
    </w:p>
    <w:p w:rsidR="005B46C4" w:rsidRPr="00650D83" w:rsidRDefault="00650D83" w:rsidP="005B46C4">
      <w:pPr>
        <w:rPr>
          <w:b/>
        </w:rPr>
      </w:pPr>
      <w:r w:rsidRPr="00650D83">
        <w:rPr>
          <w:b/>
        </w:rPr>
        <w:t>S</w:t>
      </w:r>
      <w:r w:rsidR="005B46C4" w:rsidRPr="00650D83">
        <w:rPr>
          <w:b/>
        </w:rPr>
        <w:t>ymptome</w:t>
      </w:r>
    </w:p>
    <w:p w:rsidR="005B46C4" w:rsidRDefault="005B46C4" w:rsidP="005B46C4">
      <w:r>
        <w:t xml:space="preserve">Ein akuter Gichtanfall führt zu </w:t>
      </w:r>
      <w:r w:rsidR="00E12C2E">
        <w:t xml:space="preserve">Schmerzen, </w:t>
      </w:r>
      <w:r>
        <w:t xml:space="preserve">Schwellungen und Hautrötungen an den Gelenken. </w:t>
      </w:r>
      <w:r w:rsidR="00650D83">
        <w:t xml:space="preserve">Oft </w:t>
      </w:r>
      <w:r>
        <w:t xml:space="preserve"> ist das Großzehengrundgelenk betroffen. </w:t>
      </w:r>
      <w:r w:rsidR="00E12C2E">
        <w:t xml:space="preserve">Die Entzündungen </w:t>
      </w:r>
      <w:r>
        <w:t xml:space="preserve">können sich </w:t>
      </w:r>
      <w:r w:rsidR="00E12C2E">
        <w:t xml:space="preserve">dann </w:t>
      </w:r>
      <w:r>
        <w:t xml:space="preserve">auf benachbarte Gebiete ausdehnen. </w:t>
      </w:r>
      <w:r w:rsidR="00650D83">
        <w:t>Grundsätzlich können auch andere Gelenke betroffen sein. Begleits</w:t>
      </w:r>
      <w:r>
        <w:t>ymptome wie allgemeines Krankheitsgefühl, Fieber, erh</w:t>
      </w:r>
      <w:r w:rsidR="00650D83">
        <w:t xml:space="preserve">öhter Puls, Kopfschmerzen, Übelkeit und </w:t>
      </w:r>
      <w:r>
        <w:t xml:space="preserve">Erbrechen </w:t>
      </w:r>
      <w:r w:rsidR="00650D83">
        <w:t>können auftreten</w:t>
      </w:r>
      <w:r>
        <w:t>.</w:t>
      </w:r>
    </w:p>
    <w:p w:rsidR="00650D83" w:rsidRPr="00650D83" w:rsidRDefault="00650D83" w:rsidP="005B46C4">
      <w:pPr>
        <w:rPr>
          <w:b/>
        </w:rPr>
      </w:pPr>
      <w:r w:rsidRPr="00650D83">
        <w:rPr>
          <w:b/>
        </w:rPr>
        <w:t>Krankheitsverlauf</w:t>
      </w:r>
    </w:p>
    <w:p w:rsidR="00650D83" w:rsidRDefault="005B46C4" w:rsidP="005B46C4">
      <w:r>
        <w:t xml:space="preserve">Nach dem ersten akuten Gichtanfall können Wochen bis </w:t>
      </w:r>
      <w:r w:rsidR="00650D83">
        <w:t xml:space="preserve">sogar </w:t>
      </w:r>
      <w:r>
        <w:t xml:space="preserve">Jahre vergehen (symptomfreies Intervall), bis weitere </w:t>
      </w:r>
      <w:r w:rsidR="00650D83">
        <w:t>Beschwerden</w:t>
      </w:r>
      <w:r>
        <w:t xml:space="preserve"> auftreten. </w:t>
      </w:r>
      <w:r w:rsidR="00650D83">
        <w:t xml:space="preserve"> W</w:t>
      </w:r>
      <w:r>
        <w:t>enn di</w:t>
      </w:r>
      <w:r w:rsidR="00650D83">
        <w:t>e Krankheit unbehandelt bleibt, kann es zu schweren Komplikationen kommen. Charakteristisch ist das Auftreten sogenannter Gichtknoten (</w:t>
      </w:r>
      <w:proofErr w:type="spellStart"/>
      <w:r w:rsidR="00650D83">
        <w:t>Tophi</w:t>
      </w:r>
      <w:proofErr w:type="spellEnd"/>
      <w:r w:rsidR="00650D83">
        <w:t>), die Knorpeln (Ohr) Knochen und innere Organe betreffen können. Weiterhin kann es zur Ausbildung einer Gichtniere und Nierensteinen kommen. D</w:t>
      </w:r>
      <w:r>
        <w:t>ie Schmerz</w:t>
      </w:r>
      <w:r w:rsidR="00E12C2E">
        <w:t>-</w:t>
      </w:r>
      <w:r>
        <w:t>attacken</w:t>
      </w:r>
      <w:r w:rsidR="00650D83">
        <w:t xml:space="preserve"> kommen </w:t>
      </w:r>
      <w:r>
        <w:t>in im</w:t>
      </w:r>
      <w:r w:rsidR="00650D83">
        <w:t>mer kürzeren Zeitintervallen</w:t>
      </w:r>
      <w:r>
        <w:t xml:space="preserve">. </w:t>
      </w:r>
    </w:p>
    <w:p w:rsidR="005B46C4" w:rsidRPr="00C33FE2" w:rsidRDefault="00C33FE2" w:rsidP="005B46C4">
      <w:pPr>
        <w:rPr>
          <w:b/>
        </w:rPr>
      </w:pPr>
      <w:r>
        <w:rPr>
          <w:b/>
        </w:rPr>
        <w:t>Therapie</w:t>
      </w:r>
    </w:p>
    <w:p w:rsidR="005B46C4" w:rsidRDefault="00C33FE2" w:rsidP="005B46C4">
      <w:r>
        <w:t>Erstes Ziel ist die Einhaltung  einer strikten diätetischen Behandlung. E</w:t>
      </w:r>
      <w:r w:rsidR="005B46C4">
        <w:t>in</w:t>
      </w:r>
      <w:r>
        <w:t>e dauerhafte Senkung der</w:t>
      </w:r>
      <w:r w:rsidR="005B46C4">
        <w:t xml:space="preserve"> Harnsä</w:t>
      </w:r>
      <w:r>
        <w:t>urewerte im Blut auf 6mg/dl ist anzustreben.</w:t>
      </w:r>
      <w:r w:rsidR="005B46C4">
        <w:t xml:space="preserve"> Wen</w:t>
      </w:r>
      <w:r>
        <w:t>n bei Harnsäurewerten zwischen 7</w:t>
      </w:r>
      <w:r w:rsidR="005B46C4">
        <w:t>,5 und 9 mg/dl</w:t>
      </w:r>
      <w:r w:rsidR="00E12C2E">
        <w:t xml:space="preserve"> </w:t>
      </w:r>
      <w:r>
        <w:t xml:space="preserve">noch </w:t>
      </w:r>
      <w:r w:rsidR="005B46C4">
        <w:t xml:space="preserve"> keine akuten </w:t>
      </w:r>
      <w:r>
        <w:t xml:space="preserve">gesundheitlichen </w:t>
      </w:r>
      <w:r w:rsidR="005B46C4">
        <w:t xml:space="preserve">Probleme </w:t>
      </w:r>
      <w:r>
        <w:t>bestehen</w:t>
      </w:r>
      <w:r w:rsidR="005B46C4">
        <w:t>, reichen diätetische Maßnahmen meist</w:t>
      </w:r>
      <w:r>
        <w:t>ens</w:t>
      </w:r>
      <w:r w:rsidR="005B46C4">
        <w:t xml:space="preserve"> aus. Bei Konzentrationen über 9 mg/dl bzw. bei gleichzeitigem Auftreten von Komplikationen (Gichtanfälle, Nierensteine) ist eine zusätzliche medikamentöse Behandlung </w:t>
      </w:r>
      <w:r>
        <w:t xml:space="preserve">unbedingt </w:t>
      </w:r>
      <w:r w:rsidR="005B46C4">
        <w:t>erforderlich.</w:t>
      </w:r>
    </w:p>
    <w:p w:rsidR="005B46C4" w:rsidRPr="00C33FE2" w:rsidRDefault="00C33FE2" w:rsidP="005B46C4">
      <w:pPr>
        <w:rPr>
          <w:b/>
        </w:rPr>
      </w:pPr>
      <w:r w:rsidRPr="00C33FE2">
        <w:rPr>
          <w:b/>
        </w:rPr>
        <w:t xml:space="preserve">Was sind </w:t>
      </w:r>
      <w:r w:rsidR="005B46C4" w:rsidRPr="00C33FE2">
        <w:rPr>
          <w:b/>
        </w:rPr>
        <w:t>Purine</w:t>
      </w:r>
      <w:r w:rsidRPr="00C33FE2">
        <w:rPr>
          <w:b/>
        </w:rPr>
        <w:t>?</w:t>
      </w:r>
    </w:p>
    <w:p w:rsidR="004B105E" w:rsidRDefault="005B46C4" w:rsidP="005B46C4">
      <w:r>
        <w:t>Nahrungspurine werden im menschlichen Körper zu Harnsäure abgebaut. Deshalb ist bei entsprechender Veranlagung (Hyperurikämie) die Zufuhr von Harnsäure auf etwa 500 mg pro Tag zu reduzieren. Um diesen Wert nicht zu überschreiten, sollten höchst</w:t>
      </w:r>
      <w:r w:rsidR="00AB3F1A">
        <w:t xml:space="preserve">ens einmal am Tag 150g Fleisch </w:t>
      </w:r>
      <w:r>
        <w:t xml:space="preserve">oder Wurst verzehrt werden. Innereien enthalten den höchsten Harnsäuregehalt. Sie sind deshalb ganz zu meiden. Aber auch der Verzehr von harnsäurereichen pflanzlichen Nahrungsmitteln wie z.B. von Hülsenfrüchten, Kohl und </w:t>
      </w:r>
      <w:r w:rsidR="00C33FE2">
        <w:t xml:space="preserve">Brokkoli </w:t>
      </w:r>
      <w:r>
        <w:t>sollte einges</w:t>
      </w:r>
      <w:r w:rsidR="00AB3F1A">
        <w:t>chränkt werden, ebenso</w:t>
      </w:r>
      <w:r w:rsidR="00C33FE2">
        <w:t xml:space="preserve"> der Genuss</w:t>
      </w:r>
      <w:r>
        <w:t xml:space="preserve"> von </w:t>
      </w:r>
      <w:r w:rsidR="00E12C2E">
        <w:t>Fructose haltigen</w:t>
      </w:r>
      <w:r>
        <w:t xml:space="preserve"> Getränken</w:t>
      </w:r>
      <w:r w:rsidR="00E12C2E">
        <w:t xml:space="preserve"> (süß</w:t>
      </w:r>
      <w:r w:rsidR="00C33FE2">
        <w:t>e Getränke, Fruchtsäfte)</w:t>
      </w:r>
      <w:r w:rsidR="004B105E">
        <w:t>.</w:t>
      </w:r>
    </w:p>
    <w:p w:rsidR="004B105E" w:rsidRDefault="004B105E" w:rsidP="005B46C4"/>
    <w:p w:rsidR="005B46C4" w:rsidRPr="00C33FE2" w:rsidRDefault="004B105E" w:rsidP="005B46C4">
      <w:pPr>
        <w:rPr>
          <w:b/>
        </w:rPr>
      </w:pPr>
      <w:r>
        <w:t>Mi</w:t>
      </w:r>
      <w:r w:rsidR="005B46C4" w:rsidRPr="00C33FE2">
        <w:rPr>
          <w:b/>
        </w:rPr>
        <w:t>lch und Milchprodukte</w:t>
      </w:r>
    </w:p>
    <w:p w:rsidR="005B46C4" w:rsidRDefault="005B46C4" w:rsidP="005B46C4">
      <w:r>
        <w:t>Da ein hoher Eiweißgehalt von Lebensmittel meist auch mit einem hohen Puringehalt verbunden ist, sollte mit proteinreichen Lebensmit</w:t>
      </w:r>
      <w:r w:rsidR="00C33FE2">
        <w:t xml:space="preserve">teln sparsam umgegangen werden. </w:t>
      </w:r>
      <w:r>
        <w:t xml:space="preserve">Milch und Milchprodukte sowie Eier sind purinfrei bzw. sehr purinarm. Sie eignen sich besonders als Proteinquelle, da reines Eiweiß die Harnsäureausscheidung über die Niere </w:t>
      </w:r>
      <w:r w:rsidR="004B105E">
        <w:t>sogar fördert, was sehr positiv in der Behandlung ist.</w:t>
      </w:r>
    </w:p>
    <w:p w:rsidR="005B46C4" w:rsidRPr="00C33FE2" w:rsidRDefault="005B46C4" w:rsidP="005B46C4">
      <w:pPr>
        <w:rPr>
          <w:b/>
        </w:rPr>
      </w:pPr>
      <w:r w:rsidRPr="00C33FE2">
        <w:rPr>
          <w:b/>
        </w:rPr>
        <w:t>Alkohol</w:t>
      </w:r>
    </w:p>
    <w:p w:rsidR="00E12C2E" w:rsidRDefault="005B46C4" w:rsidP="005B46C4">
      <w:r>
        <w:t xml:space="preserve">Häufiger Auslöser von Gichtanfällen ist der übermäßige Konsum von Alkohol. Der Harnsäurestoffwechsel wird dabei auf mehreren Wegen beeinflusst. Zum einen </w:t>
      </w:r>
      <w:r w:rsidR="00E12C2E">
        <w:t xml:space="preserve">führt Alkohol </w:t>
      </w:r>
      <w:r>
        <w:t xml:space="preserve"> zu einer Übersäuerun</w:t>
      </w:r>
      <w:r w:rsidR="00C93115">
        <w:t>g des Blutes</w:t>
      </w:r>
      <w:r w:rsidR="00E12C2E">
        <w:t xml:space="preserve"> und es entsteht vermehrt körpereigene Harnsäure, z</w:t>
      </w:r>
      <w:r>
        <w:t>um anderen hemmt Alkohol die Harnsäureausscheidung über die Niere</w:t>
      </w:r>
      <w:r w:rsidR="00E12C2E">
        <w:t>.</w:t>
      </w:r>
      <w:r>
        <w:t xml:space="preserve"> </w:t>
      </w:r>
      <w:r w:rsidR="00E12C2E">
        <w:t xml:space="preserve">Insbesondere Bier hat einen hohen Puringehalt. </w:t>
      </w:r>
      <w:r>
        <w:t xml:space="preserve">Ein halber Liter Bier enthält immerhin 170 mg Harnsäureäquivalent. Dadurch und durch die negativen Wirkungen des Alkohols erhöht sich die Wahrscheinlichkeit eines Gichtanfalles. </w:t>
      </w:r>
    </w:p>
    <w:p w:rsidR="00E12C2E" w:rsidRPr="00E12C2E" w:rsidRDefault="00E12C2E" w:rsidP="005B46C4">
      <w:pPr>
        <w:rPr>
          <w:b/>
        </w:rPr>
      </w:pPr>
      <w:r w:rsidRPr="00E12C2E">
        <w:rPr>
          <w:b/>
        </w:rPr>
        <w:t>Fett</w:t>
      </w:r>
    </w:p>
    <w:p w:rsidR="005B46C4" w:rsidRDefault="005B46C4" w:rsidP="005B46C4">
      <w:r>
        <w:t>Die Kombination von Alkoholkonsum und fettreicher Nahrung</w:t>
      </w:r>
      <w:r w:rsidR="00E12C2E">
        <w:t xml:space="preserve">, welche die Harnsäureausscheidung zusätzlich hemmt, </w:t>
      </w:r>
      <w:r>
        <w:t xml:space="preserve"> ist besonders ungünstig.</w:t>
      </w:r>
      <w:r w:rsidR="00E12C2E">
        <w:t xml:space="preserve"> </w:t>
      </w:r>
      <w:r>
        <w:t>Die tägliche Aufnahme sollte 70g Fett nicht übersteigen. Das entspricht etwa 30% der Gesamtenergiezufuhr.</w:t>
      </w:r>
    </w:p>
    <w:p w:rsidR="005B46C4" w:rsidRDefault="005B46C4" w:rsidP="005B46C4">
      <w:r>
        <w:t>Die Art des Fettes ist in diesem Fall nicht von Bedeutung. Im Rahmen einer gesunden Ernährung empfiehlt es sich jedoch, den Anteil tierischer Fette zugunsten von pflanzlichen Ölen zu reduzieren.</w:t>
      </w:r>
    </w:p>
    <w:p w:rsidR="005B46C4" w:rsidRPr="00E12C2E" w:rsidRDefault="005B46C4" w:rsidP="005B46C4">
      <w:pPr>
        <w:rPr>
          <w:b/>
        </w:rPr>
      </w:pPr>
      <w:r w:rsidRPr="00E12C2E">
        <w:rPr>
          <w:b/>
        </w:rPr>
        <w:t>Fasten</w:t>
      </w:r>
    </w:p>
    <w:p w:rsidR="00E12C2E" w:rsidRDefault="005B46C4" w:rsidP="005B46C4">
      <w:r>
        <w:t xml:space="preserve">Beim totalen Fasten ("Nulldiät") kommt es zu einem starken Verlust von Körpersubstanz. Hierbei werden durch den Abbau von Körperfett </w:t>
      </w:r>
      <w:r w:rsidR="00E12C2E">
        <w:t xml:space="preserve">sog. </w:t>
      </w:r>
      <w:r>
        <w:t xml:space="preserve"> Ketonkörper gebildet, die die Ausscheidung der Harnsäure hemmen. Dadurch relativiert sich der positive Effekt der Gewichtsabnahme auf den Harnsäurepool. Es sollte eine langsame, aber stetige Gewichtsreduktion angestrebt werden, so dass das Auftreten von Ketonkörpern vermieden wird. </w:t>
      </w:r>
      <w:r w:rsidR="00E12C2E">
        <w:t xml:space="preserve">Daher ist </w:t>
      </w:r>
      <w:r>
        <w:t xml:space="preserve">langfristige Ernährungsumstellung mit der damit verbundenen geringeren Fettzufuhr. </w:t>
      </w:r>
    </w:p>
    <w:p w:rsidR="005B46C4" w:rsidRDefault="005B46C4" w:rsidP="005B46C4">
      <w:r>
        <w:t xml:space="preserve">Tipps zum Abnehmen </w:t>
      </w:r>
      <w:r w:rsidR="00E12C2E">
        <w:t>und zur richtigen Diät OHNE Mangelerscheinungen und Körpersubstanzverlust erhalten Sie jederzeit von uns im persönlichen Gespräch!</w:t>
      </w:r>
    </w:p>
    <w:p w:rsidR="005B46C4" w:rsidRPr="004B105E" w:rsidRDefault="005B46C4" w:rsidP="005B46C4">
      <w:pPr>
        <w:rPr>
          <w:b/>
        </w:rPr>
      </w:pPr>
      <w:r w:rsidRPr="004B105E">
        <w:rPr>
          <w:b/>
        </w:rPr>
        <w:t>Zusammenfassung</w:t>
      </w:r>
    </w:p>
    <w:p w:rsidR="004B105E" w:rsidRDefault="005B46C4" w:rsidP="005B46C4">
      <w:pPr>
        <w:pStyle w:val="Listenabsatz"/>
        <w:numPr>
          <w:ilvl w:val="0"/>
          <w:numId w:val="1"/>
        </w:numPr>
      </w:pPr>
      <w:r>
        <w:t>Harnsäure-reduzierende Kost (&lt;500mg Harnsäure/Tag)</w:t>
      </w:r>
    </w:p>
    <w:p w:rsidR="004B105E" w:rsidRDefault="005B46C4" w:rsidP="005B46C4">
      <w:pPr>
        <w:pStyle w:val="Listenabsatz"/>
        <w:numPr>
          <w:ilvl w:val="0"/>
          <w:numId w:val="1"/>
        </w:numPr>
      </w:pPr>
      <w:r>
        <w:t xml:space="preserve">maximal einmal </w:t>
      </w:r>
      <w:r w:rsidR="004B105E">
        <w:t xml:space="preserve">am Tag 150g Fleisch oder </w:t>
      </w:r>
      <w:r>
        <w:t>Wurst (am Anfang ist es sinnvoll, die Portionen abzuwiegen, da man dazu neigt, die Portionsgröße zu unterschätzen!)</w:t>
      </w:r>
    </w:p>
    <w:p w:rsidR="004B105E" w:rsidRDefault="005B46C4" w:rsidP="005B46C4">
      <w:pPr>
        <w:pStyle w:val="Listenabsatz"/>
        <w:numPr>
          <w:ilvl w:val="0"/>
          <w:numId w:val="1"/>
        </w:numPr>
      </w:pPr>
      <w:r>
        <w:t xml:space="preserve">auf Innereien </w:t>
      </w:r>
      <w:r w:rsidR="004B105E">
        <w:t xml:space="preserve"> </w:t>
      </w:r>
      <w:r>
        <w:t>verzichten</w:t>
      </w:r>
    </w:p>
    <w:p w:rsidR="004B105E" w:rsidRDefault="004B105E" w:rsidP="005B46C4">
      <w:pPr>
        <w:pStyle w:val="Listenabsatz"/>
        <w:numPr>
          <w:ilvl w:val="0"/>
          <w:numId w:val="1"/>
        </w:numPr>
      </w:pPr>
      <w:r>
        <w:t>Purin reiche</w:t>
      </w:r>
      <w:r w:rsidR="005B46C4">
        <w:t xml:space="preserve"> pflanzliche Lebensmittel wie z.B. H</w:t>
      </w:r>
      <w:r w:rsidR="005B46C4" w:rsidRPr="004B105E">
        <w:rPr>
          <w:rFonts w:ascii="Calibri" w:hAnsi="Calibri" w:cs="Calibri"/>
        </w:rPr>
        <w:t>ü</w:t>
      </w:r>
      <w:r w:rsidR="005B46C4">
        <w:t>lsenfr</w:t>
      </w:r>
      <w:r w:rsidR="005B46C4" w:rsidRPr="004B105E">
        <w:rPr>
          <w:rFonts w:ascii="Calibri" w:hAnsi="Calibri" w:cs="Calibri"/>
        </w:rPr>
        <w:t>ü</w:t>
      </w:r>
      <w:r w:rsidR="005B46C4">
        <w:t>chte, Kohl, Rosenkohl, Linsen, Erbsen, wei</w:t>
      </w:r>
      <w:r w:rsidR="005B46C4" w:rsidRPr="004B105E">
        <w:rPr>
          <w:rFonts w:ascii="Calibri" w:hAnsi="Calibri" w:cs="Calibri"/>
        </w:rPr>
        <w:t>ß</w:t>
      </w:r>
      <w:r w:rsidR="005B46C4">
        <w:t>e Bohnen etc. meiden</w:t>
      </w:r>
    </w:p>
    <w:p w:rsidR="004B105E" w:rsidRDefault="005B46C4" w:rsidP="005B46C4">
      <w:pPr>
        <w:pStyle w:val="Listenabsatz"/>
        <w:numPr>
          <w:ilvl w:val="0"/>
          <w:numId w:val="1"/>
        </w:numPr>
      </w:pPr>
      <w:r>
        <w:t>Milch und Milchprodukte und Eier als bevorzugte Eiweißquelle</w:t>
      </w:r>
      <w:r w:rsidR="004B105E">
        <w:t xml:space="preserve"> konsumieren</w:t>
      </w:r>
    </w:p>
    <w:p w:rsidR="004B105E" w:rsidRDefault="005B46C4" w:rsidP="005B46C4">
      <w:pPr>
        <w:pStyle w:val="Listenabsatz"/>
        <w:numPr>
          <w:ilvl w:val="0"/>
          <w:numId w:val="1"/>
        </w:numPr>
      </w:pPr>
      <w:r>
        <w:t>Alkoholkonsum einschränken (max. 1 Glas eines alkoholischen Getränkes pro Tag)</w:t>
      </w:r>
      <w:r w:rsidR="004B105E">
        <w:t>, Bier am besten ganz meiden</w:t>
      </w:r>
    </w:p>
    <w:p w:rsidR="004B105E" w:rsidRDefault="005B46C4" w:rsidP="005B46C4">
      <w:pPr>
        <w:pStyle w:val="Listenabsatz"/>
        <w:numPr>
          <w:ilvl w:val="0"/>
          <w:numId w:val="1"/>
        </w:numPr>
      </w:pPr>
      <w:r>
        <w:t>Normalisierung des Körpergewichtes</w:t>
      </w:r>
    </w:p>
    <w:p w:rsidR="005B46C4" w:rsidRDefault="005B46C4" w:rsidP="005B46C4">
      <w:pPr>
        <w:pStyle w:val="Listenabsatz"/>
        <w:numPr>
          <w:ilvl w:val="0"/>
          <w:numId w:val="1"/>
        </w:numPr>
      </w:pPr>
      <w:r>
        <w:t>Ausreiche</w:t>
      </w:r>
      <w:r w:rsidR="004B105E">
        <w:t>nde Flüssigkeitszufuhr (mind.2l/Tag).</w:t>
      </w:r>
    </w:p>
    <w:p w:rsidR="005B46C4" w:rsidRDefault="005B46C4" w:rsidP="005B46C4">
      <w:pPr>
        <w:rPr>
          <w:b/>
        </w:rPr>
      </w:pPr>
      <w:r w:rsidRPr="004B105E">
        <w:rPr>
          <w:b/>
        </w:rPr>
        <w:t>Die beste Vorbeugung gegen Hyperurikämie und Gicht ist das Vermeiden von Exzessen, üppigen Feierlich</w:t>
      </w:r>
      <w:r w:rsidR="004B105E">
        <w:rPr>
          <w:b/>
        </w:rPr>
        <w:t>keiten und extremen Fastenkuren.</w:t>
      </w:r>
    </w:p>
    <w:p w:rsidR="004B105E" w:rsidRDefault="004B105E" w:rsidP="005B46C4">
      <w:pPr>
        <w:rPr>
          <w:b/>
        </w:rPr>
      </w:pPr>
      <w:r>
        <w:rPr>
          <w:b/>
        </w:rPr>
        <w:tab/>
      </w:r>
      <w:r>
        <w:rPr>
          <w:b/>
        </w:rPr>
        <w:tab/>
      </w:r>
      <w:r>
        <w:rPr>
          <w:b/>
        </w:rPr>
        <w:tab/>
      </w:r>
      <w:r>
        <w:rPr>
          <w:b/>
        </w:rPr>
        <w:tab/>
      </w:r>
      <w:r>
        <w:rPr>
          <w:b/>
        </w:rPr>
        <w:tab/>
      </w:r>
      <w:bookmarkStart w:id="0" w:name="_GoBack"/>
      <w:bookmarkEnd w:id="0"/>
    </w:p>
    <w:p w:rsidR="004B105E" w:rsidRPr="004B105E" w:rsidRDefault="004B105E" w:rsidP="005B46C4">
      <w:pPr>
        <w:rPr>
          <w:b/>
        </w:rPr>
      </w:pPr>
    </w:p>
    <w:sectPr w:rsidR="004B105E" w:rsidRPr="004B105E" w:rsidSect="004B105E">
      <w:pgSz w:w="11906" w:h="16838"/>
      <w:pgMar w:top="232" w:right="720" w:bottom="34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22A73"/>
    <w:multiLevelType w:val="hybridMultilevel"/>
    <w:tmpl w:val="79ECD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C4"/>
    <w:rsid w:val="000864E7"/>
    <w:rsid w:val="004B105E"/>
    <w:rsid w:val="005B46C4"/>
    <w:rsid w:val="005C2E89"/>
    <w:rsid w:val="00640993"/>
    <w:rsid w:val="00650D83"/>
    <w:rsid w:val="00AB3F1A"/>
    <w:rsid w:val="00C33FE2"/>
    <w:rsid w:val="00C93115"/>
    <w:rsid w:val="00E12C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46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6C4"/>
    <w:rPr>
      <w:rFonts w:ascii="Tahoma" w:hAnsi="Tahoma" w:cs="Tahoma"/>
      <w:sz w:val="16"/>
      <w:szCs w:val="16"/>
    </w:rPr>
  </w:style>
  <w:style w:type="paragraph" w:styleId="Listenabsatz">
    <w:name w:val="List Paragraph"/>
    <w:basedOn w:val="Standard"/>
    <w:uiPriority w:val="34"/>
    <w:qFormat/>
    <w:rsid w:val="004B1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46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6C4"/>
    <w:rPr>
      <w:rFonts w:ascii="Tahoma" w:hAnsi="Tahoma" w:cs="Tahoma"/>
      <w:sz w:val="16"/>
      <w:szCs w:val="16"/>
    </w:rPr>
  </w:style>
  <w:style w:type="paragraph" w:styleId="Listenabsatz">
    <w:name w:val="List Paragraph"/>
    <w:basedOn w:val="Standard"/>
    <w:uiPriority w:val="34"/>
    <w:qFormat/>
    <w:rsid w:val="004B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8795">
      <w:bodyDiv w:val="1"/>
      <w:marLeft w:val="0"/>
      <w:marRight w:val="0"/>
      <w:marTop w:val="0"/>
      <w:marBottom w:val="0"/>
      <w:divBdr>
        <w:top w:val="none" w:sz="0" w:space="0" w:color="auto"/>
        <w:left w:val="none" w:sz="0" w:space="0" w:color="auto"/>
        <w:bottom w:val="none" w:sz="0" w:space="0" w:color="auto"/>
        <w:right w:val="none" w:sz="0" w:space="0" w:color="auto"/>
      </w:divBdr>
      <w:divsChild>
        <w:div w:id="609288546">
          <w:marLeft w:val="0"/>
          <w:marRight w:val="0"/>
          <w:marTop w:val="0"/>
          <w:marBottom w:val="0"/>
          <w:divBdr>
            <w:top w:val="none" w:sz="0" w:space="0" w:color="auto"/>
            <w:left w:val="none" w:sz="0" w:space="0" w:color="auto"/>
            <w:bottom w:val="none" w:sz="0" w:space="0" w:color="auto"/>
            <w:right w:val="none" w:sz="0" w:space="0" w:color="auto"/>
          </w:divBdr>
          <w:divsChild>
            <w:div w:id="686712920">
              <w:marLeft w:val="375"/>
              <w:marRight w:val="0"/>
              <w:marTop w:val="75"/>
              <w:marBottom w:val="300"/>
              <w:divBdr>
                <w:top w:val="single" w:sz="6" w:space="0" w:color="C2D650"/>
                <w:left w:val="single" w:sz="6" w:space="0" w:color="C2D650"/>
                <w:bottom w:val="single" w:sz="6" w:space="0" w:color="C2D650"/>
                <w:right w:val="single" w:sz="6" w:space="0" w:color="C2D650"/>
              </w:divBdr>
              <w:divsChild>
                <w:div w:id="13465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Ordination</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Dr.med. Rausch Jochen</dc:creator>
  <cp:lastModifiedBy>Dr.med. Rausch Jochen</cp:lastModifiedBy>
  <cp:revision>7</cp:revision>
  <dcterms:created xsi:type="dcterms:W3CDTF">2012-06-20T08:22:00Z</dcterms:created>
  <dcterms:modified xsi:type="dcterms:W3CDTF">2012-12-30T16:51:00Z</dcterms:modified>
</cp:coreProperties>
</file>